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1A6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26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</w:p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bookmarkStart w:id="0" w:name="_GoBack"/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№</w:t>
      </w:r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6F430848">
      <w:pPr>
        <w:rPr>
          <w:rFonts w:ascii="Times New Roman" w:hAnsi="Times New Roman"/>
          <w:sz w:val="24"/>
          <w:szCs w:val="24"/>
        </w:rPr>
      </w:pPr>
    </w:p>
    <w:p w14:paraId="16277B23">
      <w:pPr>
        <w:rPr>
          <w:rFonts w:ascii="Times New Roman" w:hAnsi="Times New Roman"/>
          <w:sz w:val="24"/>
          <w:szCs w:val="24"/>
        </w:rPr>
      </w:pPr>
    </w:p>
    <w:p w14:paraId="79A19881">
      <w:pPr>
        <w:pStyle w:val="2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 бюджете Первомайского сельского поселения Белореченского</w:t>
      </w:r>
    </w:p>
    <w:p w14:paraId="783C8EA5">
      <w:pPr>
        <w:pStyle w:val="2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района на 202</w:t>
      </w:r>
      <w:r>
        <w:rPr>
          <w:rFonts w:hint="default"/>
          <w:b/>
          <w:snapToGrid w:val="0"/>
          <w:szCs w:val="28"/>
          <w:lang w:val="ru-RU"/>
        </w:rPr>
        <w:t>5</w:t>
      </w:r>
      <w:r>
        <w:rPr>
          <w:b/>
          <w:snapToGrid w:val="0"/>
          <w:szCs w:val="28"/>
        </w:rPr>
        <w:t xml:space="preserve"> год</w:t>
      </w:r>
    </w:p>
    <w:p w14:paraId="1634B2E4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1BB6BBF4">
      <w:pPr>
        <w:pStyle w:val="10"/>
        <w:widowControl w:val="0"/>
        <w:tabs>
          <w:tab w:val="left" w:pos="1418"/>
        </w:tabs>
        <w:contextualSpacing/>
        <w:rPr>
          <w:b/>
          <w:highlight w:val="none"/>
        </w:rPr>
      </w:pPr>
      <w:r>
        <w:rPr>
          <w:highlight w:val="none"/>
        </w:rPr>
        <w:t>1.Утвердить основные характеристики бюджета Первомайского сельского поселения Белореченский района на 202</w:t>
      </w:r>
      <w:r>
        <w:rPr>
          <w:rFonts w:hint="default"/>
          <w:highlight w:val="none"/>
          <w:lang w:val="ru-RU"/>
        </w:rPr>
        <w:t>5</w:t>
      </w:r>
      <w:r>
        <w:rPr>
          <w:highlight w:val="none"/>
        </w:rPr>
        <w:t xml:space="preserve"> год:</w:t>
      </w:r>
    </w:p>
    <w:p w14:paraId="4C553823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общий объем доходов бюджета Первомайского сельского поселения Белореченский района</w:t>
      </w:r>
      <w:r>
        <w:rPr>
          <w:rFonts w:hint="default"/>
          <w:highlight w:val="none"/>
          <w:lang w:val="ru-RU"/>
        </w:rPr>
        <w:t xml:space="preserve">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>32 519 300</w:t>
      </w:r>
      <w:r>
        <w:rPr>
          <w:highlight w:val="none"/>
        </w:rPr>
        <w:t>,00 рублей;</w:t>
      </w:r>
    </w:p>
    <w:p w14:paraId="7C576EE7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highlight w:val="none"/>
        </w:rPr>
        <w:t>общий объем расходов бюджета Первомайского сельского поселения Белореченский района</w:t>
      </w:r>
      <w:r>
        <w:rPr>
          <w:rFonts w:hint="default"/>
          <w:highlight w:val="none"/>
          <w:lang w:val="ru-RU"/>
        </w:rPr>
        <w:t xml:space="preserve">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 xml:space="preserve">31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419 300</w:t>
      </w:r>
      <w:r>
        <w:rPr>
          <w:rFonts w:ascii="Times New Roman" w:hAnsi="Times New Roman"/>
          <w:sz w:val="28"/>
          <w:szCs w:val="28"/>
          <w:highlight w:val="none"/>
        </w:rPr>
        <w:t>,00 рублей;</w:t>
      </w:r>
    </w:p>
    <w:p w14:paraId="41468C1A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верхний предел муниципального внутреннего долга Первомайского сельского поселения Белореченского района на 1 января 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года в сумме 0,00 рублей, в том числе верхний предел долга по муниципальным гарантиям Первомайского сельского поселения Белореченского района в сумме 0,00 рублей;</w:t>
      </w:r>
    </w:p>
    <w:p w14:paraId="544BF1F2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</w:pPr>
      <w:r>
        <w:t xml:space="preserve">профицит бюджета Первомайского сельского поселения Белореченского района в сумме </w:t>
      </w:r>
      <w:r>
        <w:rPr>
          <w:rFonts w:hint="default"/>
          <w:lang w:val="ru-RU"/>
        </w:rPr>
        <w:t>1 100</w:t>
      </w:r>
      <w:r>
        <w:t xml:space="preserve"> 000,00 рублей.</w:t>
      </w:r>
    </w:p>
    <w:p w14:paraId="384C79EA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 Утвердить объем поступлений доходов в бюджет Первомайского сельского поселения Белореченского района по кодам видов (подвидов) доходов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суммах согласно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"consultantplus://offline/ref=959A9ECFC9EB69AD12EFA42F1846B85F74F234856A9D90FD9ABBB92B063DA5B1BF180CC0E84F0620EBC8E1lDpEF" </w:instrText>
      </w:r>
      <w:r>
        <w:rPr>
          <w:highlight w:val="none"/>
        </w:rPr>
        <w:fldChar w:fldCharType="separate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 xml:space="preserve">приложению № </w:t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fldChar w:fldCharType="end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>1 к настоящему</w:t>
      </w:r>
      <w:r>
        <w:rPr>
          <w:rFonts w:ascii="Times New Roman" w:hAnsi="Times New Roman"/>
          <w:sz w:val="28"/>
          <w:szCs w:val="28"/>
          <w:highlight w:val="none"/>
        </w:rPr>
        <w:t xml:space="preserve"> решению. </w:t>
      </w:r>
    </w:p>
    <w:p w14:paraId="3497274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3. Утвердить в составе доходов бюджета Первомайского сельского поселения Белореченского района безвозмездные поступления из бюджетов других уровней в бюджет Первомайского сельского поселения Белореченского района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согласно приложению № 2 к настоящему решению. </w:t>
      </w:r>
    </w:p>
    <w:p w14:paraId="06B1B08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4. Установить, что добровольные взносы и пожертвования, поступившие в бюджет Первомайского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Первомайского сельского поселения Белореченского района в соответствии с настоящим решением.</w:t>
      </w:r>
    </w:p>
    <w:p w14:paraId="69CDE2B6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5. Утвердить распределение бюджетных ассигнований по разделам и подразделам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№3 к настоящему решению.</w:t>
      </w:r>
    </w:p>
    <w:p w14:paraId="1A7F5EC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6. Утвердить распределение бюджетных ассигнований по целевым статьям (муниципальным программам Первомайского сельского поселения Белореченского района и непрограммным направлениям деятельности), группам видов расходов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 4 к настоящему решению. </w:t>
      </w:r>
    </w:p>
    <w:p w14:paraId="23629E2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7. Утвердить ведомственную структуру расходов бюджета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год, согласно приложения № 5 к настоящему решению.</w:t>
      </w:r>
    </w:p>
    <w:p w14:paraId="195B078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8. Утвердить в составе ведомственной структуры расходов бюджета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перечень главных распорядителей средств бюджета Первомайского сельского поселения Белореченского района, перечень разделов, подразделов, целевых статей (муниципальных программ Первомайского сельского поселения Белореченского района и непрограммных направлений деятельности), групп видов расходов бюджета поселения.</w:t>
      </w:r>
    </w:p>
    <w:p w14:paraId="543D98F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9. Утвердить в составе ведомственной структуры расходов бюджета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год:</w:t>
      </w:r>
    </w:p>
    <w:p w14:paraId="5A2144E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общий объем бюджетных ассигнований, направленных на исполнение публичных нормативных обязательств, в сумме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81 168,20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рублей;</w:t>
      </w:r>
    </w:p>
    <w:p w14:paraId="495CDBE2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размер резервного фонда администрации Первомайского сельского поселения Белореченского района в сумме 30 000,00 рублей. </w:t>
      </w:r>
    </w:p>
    <w:p w14:paraId="0A6C4D03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10. Утвердить источники финансирования дефицита бюджета Первомайского сельского поселения Белореченского района, перечень статей источников финансирования дефицитов бюджета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6 к настоящему решению. </w:t>
      </w:r>
    </w:p>
    <w:p w14:paraId="77D332B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11. Принять к сведению, что не использованные по состоянию на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остатки иных межбюджетных трансфертов, предоставленных из бюджета Первомайского сельского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Первомайского сельского  поселения Белореченского района в сроки и в порядке, которые установлены администрацией поселения. </w:t>
      </w:r>
    </w:p>
    <w:p w14:paraId="7C4EAE3D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12. Утвердить объем бюджетных ассигнований муниципального дорожного фонда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2 774 800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717F46E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13.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– 0,0096. </w:t>
      </w:r>
    </w:p>
    <w:p w14:paraId="3ACF1528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14.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Первомайского сельского поселения Белореченского района.</w:t>
      </w:r>
    </w:p>
    <w:p w14:paraId="356B7D44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оказания муниципальной поддержки субъектам малого и среднего предпринимательства;</w:t>
      </w:r>
    </w:p>
    <w:p w14:paraId="6F007DC7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2) оказание мер социальной поддержки отдельным категориям граждан.</w:t>
      </w:r>
    </w:p>
    <w:p w14:paraId="0342AAB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15.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 Увеличить размеры денежного вознаграждения лиц, замещающих муниципальные должности Первомайского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7,4 </w:t>
      </w:r>
      <w:r>
        <w:rPr>
          <w:rFonts w:ascii="Times New Roman" w:hAnsi="Times New Roman"/>
          <w:sz w:val="28"/>
          <w:szCs w:val="28"/>
          <w:highlight w:val="none"/>
        </w:rPr>
        <w:t>процента.</w:t>
      </w:r>
    </w:p>
    <w:p w14:paraId="01E4B83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Первомайского сельского поселения Белореченского района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7,4</w:t>
      </w:r>
      <w:r>
        <w:rPr>
          <w:rFonts w:ascii="Times New Roman" w:hAnsi="Times New Roman"/>
          <w:sz w:val="28"/>
          <w:szCs w:val="28"/>
          <w:highlight w:val="none"/>
        </w:rPr>
        <w:t xml:space="preserve"> процента.</w:t>
      </w:r>
    </w:p>
    <w:p w14:paraId="7F9DF6D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Установить, что администрация Первомайского сельского поселения Белореченского района не вправе принимать решения, приводящие к увеличению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178AF70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16.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Белореченского района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14:paraId="4933D6F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17. Утвердить программу муниципальных внутренних заимствований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7 к настоящему решению.</w:t>
      </w:r>
    </w:p>
    <w:p w14:paraId="64CA41CE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18. Утвердить программу муниципальных гарантий Первомайского сельского поселения Белореченского района в валюте Российской Федерации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8 к настоящему решению.</w:t>
      </w:r>
    </w:p>
    <w:p w14:paraId="3E4B5CA5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19. Утвердить программу муниципальных внешних заимствований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№9 к настоящему решению. </w:t>
      </w:r>
    </w:p>
    <w:p w14:paraId="6C2DF37D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20. Утвердить программу муниципальных гарантий Первомайского сельского поселения Белореченского района в иностранной валюте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№10 к настоящему решению. </w:t>
      </w:r>
    </w:p>
    <w:p w14:paraId="080EEE37">
      <w:pPr>
        <w:pStyle w:val="8"/>
        <w:widowControl w:val="0"/>
        <w:tabs>
          <w:tab w:val="left" w:pos="1418"/>
        </w:tabs>
        <w:ind w:firstLine="709"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21. </w:t>
      </w:r>
      <w:r>
        <w:rPr>
          <w:rFonts w:ascii="Times New Roman" w:hAnsi="Times New Roman"/>
          <w:sz w:val="28"/>
          <w:szCs w:val="28"/>
        </w:rPr>
        <w:t>Утвердить объем расходов на обслуживание муниципального долга Первомайского сельского поселения Белореченского района на 202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lang w:val="ru-RU"/>
        </w:rPr>
        <w:t>820,00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14:paraId="54E532F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 Установить, что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получатели средств  бюджета Первомайского сельского поселения Белореченского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 в размере до 100 процентов от суммы договора:</w:t>
      </w:r>
    </w:p>
    <w:p w14:paraId="2E4E743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а) об  оказании  услуг связи, о подписке на печатные издания и об их при-</w:t>
      </w:r>
    </w:p>
    <w:p w14:paraId="12CE64F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обретении;</w:t>
      </w:r>
    </w:p>
    <w:p w14:paraId="1304F8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Первомайского сельского поселения Белореченского района, муниципальных служащих Первомайского сельского поселения Белореченского района и работников муниципальных казенных учреждений Первомайского сельского поселения Белореченского района и иных мероприятий по профессиональному развитию;</w:t>
      </w:r>
    </w:p>
    <w:p w14:paraId="40AD092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в) об участии в научных, методических, научно-практических и иных конференциях;</w:t>
      </w:r>
    </w:p>
    <w:p w14:paraId="4943FA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е) на приобретение объектов недвижимости в собственность Первомайского сельского поселения Белореченского района;</w:t>
      </w:r>
    </w:p>
    <w:p w14:paraId="7A0B645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в размере до 30 процентов от суммы договора – по остальным договорам. </w:t>
      </w:r>
    </w:p>
    <w:p w14:paraId="2214D8AA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14C8A5D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 Настоящее решение вступает в силу со дня его официального опубликования, но не ранее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года.</w:t>
      </w:r>
    </w:p>
    <w:p w14:paraId="2F52E41C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1A05D779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4021A37B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6D27F38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Глава </w:t>
      </w:r>
    </w:p>
    <w:p w14:paraId="30B57EB2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Первомайского сельского поселения</w:t>
      </w:r>
    </w:p>
    <w:p w14:paraId="3DCA3C9E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Н.Н. Милованов</w:t>
      </w:r>
    </w:p>
    <w:p w14:paraId="12845DF5">
      <w:pPr>
        <w:rPr>
          <w:rFonts w:ascii="Times New Roman" w:hAnsi="Times New Roman"/>
          <w:sz w:val="28"/>
          <w:szCs w:val="28"/>
          <w:highlight w:val="none"/>
        </w:rPr>
      </w:pPr>
    </w:p>
    <w:p w14:paraId="1695795E">
      <w:pPr>
        <w:rPr>
          <w:rFonts w:ascii="Times New Roman" w:hAnsi="Times New Roman"/>
          <w:sz w:val="28"/>
          <w:szCs w:val="28"/>
          <w:highlight w:val="none"/>
        </w:rPr>
      </w:pPr>
    </w:p>
    <w:p w14:paraId="7B152A56">
      <w:pPr>
        <w:rPr>
          <w:rFonts w:ascii="Times New Roman" w:hAnsi="Times New Roman"/>
          <w:sz w:val="28"/>
          <w:szCs w:val="28"/>
          <w:highlight w:val="none"/>
        </w:rPr>
      </w:pPr>
    </w:p>
    <w:p w14:paraId="7606172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Председатель</w:t>
      </w:r>
    </w:p>
    <w:p w14:paraId="62B250C9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Совета Первомайского сельского поселения</w:t>
      </w:r>
    </w:p>
    <w:p w14:paraId="6DD21C56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Г.Е. Колесников</w:t>
      </w:r>
    </w:p>
    <w:p w14:paraId="090E7C5C">
      <w:pPr>
        <w:pStyle w:val="8"/>
        <w:widowControl w:val="0"/>
        <w:jc w:val="both"/>
        <w:rPr>
          <w:rFonts w:ascii="Times New Roman" w:hAnsi="Times New Roman"/>
          <w:sz w:val="28"/>
          <w:highlight w:val="yellow"/>
        </w:rPr>
      </w:pPr>
    </w:p>
    <w:p w14:paraId="08D7903F">
      <w:pPr>
        <w:pStyle w:val="8"/>
        <w:widowControl w:val="0"/>
        <w:jc w:val="both"/>
        <w:rPr>
          <w:rFonts w:ascii="Times New Roman" w:hAnsi="Times New Roman"/>
          <w:sz w:val="28"/>
          <w:highlight w:val="yellow"/>
        </w:rPr>
      </w:pPr>
    </w:p>
    <w:bookmarkEnd w:id="0"/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  <w:r>
      <w:rPr>
        <w:rFonts w:ascii="Times New Roman" w:hAnsi="Times New Roman"/>
        <w:b/>
        <w:sz w:val="40"/>
        <w:szCs w:val="40"/>
        <w:lang w:val="ru-RU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4876C0"/>
    <w:multiLevelType w:val="multilevel"/>
    <w:tmpl w:val="464876C0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decimal"/>
      <w:lvlText w:val="%2)"/>
      <w:lvlJc w:val="left"/>
      <w:pPr>
        <w:ind w:left="2149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FE0B2D"/>
    <w:rsid w:val="0F9C14D4"/>
    <w:rsid w:val="22EB159C"/>
    <w:rsid w:val="29F93B22"/>
    <w:rsid w:val="2E482FFF"/>
    <w:rsid w:val="355A7705"/>
    <w:rsid w:val="391B7D69"/>
    <w:rsid w:val="43EE0359"/>
    <w:rsid w:val="56793DC5"/>
    <w:rsid w:val="6B503686"/>
    <w:rsid w:val="73B9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11CCB5-68B1-445D-AF78-F93D61E3B9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1551</Words>
  <Characters>8845</Characters>
  <Lines>73</Lines>
  <Paragraphs>20</Paragraphs>
  <TotalTime>0</TotalTime>
  <ScaleCrop>false</ScaleCrop>
  <LinksUpToDate>false</LinksUpToDate>
  <CharactersWithSpaces>10376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2023-12-11T09:46:00Z</cp:lastPrinted>
  <dcterms:modified xsi:type="dcterms:W3CDTF">2024-11-07T05:35:39Z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CD347B52D24D4D059EA0E71EA964ACA6_12</vt:lpwstr>
  </property>
</Properties>
</file>